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3809365</wp:posOffset>
            </wp:positionH>
            <wp:positionV relativeFrom="paragraph">
              <wp:posOffset>859790</wp:posOffset>
            </wp:positionV>
            <wp:extent cx="2749550" cy="42672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49550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3809365</wp:posOffset>
            </wp:positionH>
            <wp:positionV relativeFrom="paragraph">
              <wp:posOffset>1283335</wp:posOffset>
            </wp:positionV>
            <wp:extent cx="2621280" cy="93281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21280" cy="9328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3812540</wp:posOffset>
            </wp:positionH>
            <wp:positionV relativeFrom="paragraph">
              <wp:posOffset>2237105</wp:posOffset>
            </wp:positionV>
            <wp:extent cx="2328545" cy="62801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2854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3815715</wp:posOffset>
            </wp:positionH>
            <wp:positionV relativeFrom="paragraph">
              <wp:posOffset>3239770</wp:posOffset>
            </wp:positionV>
            <wp:extent cx="1390015" cy="271272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90015" cy="2712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Гистограмма 1. Рейтинг по результатам сбора, обобщения и анализа информации о качестве условий оказания услуг организациями культуры Алтайского края (топ-10 организаций)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Краевое государственное бюджетное</w:t>
        <w:br/>
        <w:t>учреждение «Алтайская краевая специальная</w:t>
        <w:br/>
        <w:t>библиотека для незрячих и слабовидящих» (г.</w:t>
        <w:br/>
        <w:t>Барнаул)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Краевое государственное бюджетное</w:t>
        <w:br/>
        <w:t>учреждение «Алтайская краевая</w:t>
        <w:br/>
        <w:t>универсальная научная библиотека им. В.Я.</w:t>
        <w:br/>
        <w:t>Шишкова» (г. Барнаул)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Краевое государственное бюджетное</w:t>
        <w:br/>
        <w:t>учреждение «Алтайская краевая детская</w:t>
        <w:br/>
        <w:t>библиотека им. Н.К. Крупской» (г. Барнаул)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бюджетное учреждение</w:t>
        <w:br/>
        <w:t>культуры «Калманский культурно</w:t>
        <w:t>-</w:t>
        <w:br/>
        <w:t>информационный центр»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Краевое государственное бюджетное</w:t>
        <w:br/>
        <w:t>учреждение «Государственный</w:t>
        <w:br/>
        <w:t>художественный музей Ал тайского края» (г.</w:t>
        <w:br/>
        <w:t>Барнаул)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Краевое государственное бюджетное</w:t>
        <w:br/>
        <w:t>учреждение "Государственный музей истории</w:t>
        <w:br/>
        <w:t>литературы, искусства и культуры Алтая" (г.</w:t>
        <w:br/>
        <w:t>Барнаул)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536" w:left="1478" w:right="5901" w:bottom="2115" w:header="110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бюджетное учреждение</w:t>
        <w:br/>
        <w:t>культуры «Михайловский</w:t>
        <w:br/>
        <w:t>многофункциональный культурный центр»</w: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6" w:left="0" w:right="0" w:bottom="112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1182370</wp:posOffset>
            </wp:positionH>
            <wp:positionV relativeFrom="paragraph">
              <wp:posOffset>12700</wp:posOffset>
            </wp:positionV>
            <wp:extent cx="3791585" cy="196913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791585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6" w:left="1478" w:right="1576" w:bottom="11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6. Итоговый рейтинг оценки качества условий оказания услуг организаций культуры</w:t>
      </w:r>
    </w:p>
    <w:tbl>
      <w:tblPr>
        <w:tblOverlap w:val="never"/>
        <w:jc w:val="center"/>
        <w:tblLayout w:type="fixed"/>
      </w:tblPr>
      <w:tblGrid>
        <w:gridCol w:w="394"/>
        <w:gridCol w:w="3874"/>
        <w:gridCol w:w="706"/>
        <w:gridCol w:w="706"/>
        <w:gridCol w:w="715"/>
        <w:gridCol w:w="720"/>
        <w:gridCol w:w="710"/>
        <w:gridCol w:w="701"/>
        <w:gridCol w:w="725"/>
      </w:tblGrid>
      <w:tr>
        <w:trPr>
          <w:trHeight w:val="26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12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2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Открытость и доступность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 Комфортность условий доставления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 Доступность услуг для инвалидов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 Доброжелательность, вежливость работников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 Удовлетворенность условиями оказания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БАЛЛ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РЕЙТИНГ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Краевое государственное бюджетное учреждение «Алтайская краевая специальная библиотека для незрячих и слабовидящих» (г. Барнаул)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Краевое государственное бюджетное учреждение «Алтайская краевая универсальная научная библиотека им. В.Я. Шишкова» (г. Барнаул)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Краевое государственное бюджетное учреждение «Алтайская краевая детская библиотека им. Н.К. Крупской» (г. Барнаул)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культуры «Калманский культурно</w:t>
              <w:softHyphen/>
              <w:t>информационный центр»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Краевое государственное бюджетное учреждение «Государственный художественный музей Алтайского края» (г. Барнаул)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9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Краевое государственное бюджетное учреждение "Государственный музей истории литературы, искусства и культуры Алтая" (г. Барнаул)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</w:tbl>
    <w:p>
      <w:pPr>
        <w:sectPr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2650" w:left="1496" w:right="1154" w:bottom="5081" w:header="2222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50"/>
        <w:gridCol w:w="1795"/>
        <w:gridCol w:w="773"/>
        <w:gridCol w:w="6269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организации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балл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Рекомендации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Краевое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Критерий «Открытость и доступность информации об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организации»: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Привести в соответствие информацию о деятельности организации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учреждение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культуры, размещенной </w:t>
            </w: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официальном сайте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 в сети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"Г осударственный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«Интернет», порядку размещения информации на официальном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сайте поставщика услуг в сети «Интернет» согласно требованиям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литературы,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приказа Министерства культуры Российской Федерации от 20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искусства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февраля 2015 г. № 277 "Об утверждении требований к содержанию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культуры Алтая"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форме предоставления информации о деятельности организаций</w:t>
            </w:r>
          </w:p>
        </w:tc>
      </w:tr>
      <w:tr>
        <w:trPr>
          <w:trHeight w:val="229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(г. Барнаул)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учредителе/учредителях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контактные телефоны, адреса электронной почты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 чр е дителя/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 чр е дител ей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адрес сайта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учредителя/учредителей</w:t>
            </w:r>
          </w:p>
        </w:tc>
      </w:tr>
      <w:tr>
        <w:trPr>
          <w:trHeight w:val="241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Критерий «Комфортность условий предоставления услуг»: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доступность питьевой воды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Доступностью записи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получение услуги: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официальном сайте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</w:tr>
      <w:tr>
        <w:trPr>
          <w:trHeight w:val="19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Критерий «Доступность услуг для инвалидов»: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выделенными стоянками для автотранспортных средств инвалидов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специальными креслами-колясками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специально оборудованными санитарно-гигиеническими помещениями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организации</w:t>
            </w:r>
          </w:p>
        </w:tc>
      </w:tr>
      <w:tr>
        <w:trPr>
          <w:trHeight w:val="232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предоставить инвалидам по слуху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(слуху и зрению) </w:t>
            </w: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услуги сурдопереводчика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(тифлосурдопереводчика)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обеспечить помощью сопровождение инвалидов 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помещениях организаций, оказываемой работниками организации культуры, </w:t>
            </w: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прошедшими необходимое обучение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(инструктирование)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возможность предоставления услуг в дистанционном режиме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или </w:t>
            </w:r>
            <w:r>
              <w:rPr>
                <w:color w:val="5E603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дому</w:t>
            </w:r>
          </w:p>
        </w:tc>
      </w:tr>
    </w:tbl>
    <w:sectPr>
      <w:footerReference w:type="default" r:id="rId17"/>
      <w:footnotePr>
        <w:pos w:val="pageBottom"/>
        <w:numFmt w:val="decimal"/>
        <w:numRestart w:val="continuous"/>
      </w:footnotePr>
      <w:pgSz w:w="11900" w:h="16840"/>
      <w:pgMar w:top="2080" w:left="1451" w:right="1261" w:bottom="2080" w:header="1652" w:footer="165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9918065</wp:posOffset>
              </wp:positionV>
              <wp:extent cx="130810" cy="1003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32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7.10000000000002pt;margin-top:780.95000000000005pt;width:10.30000000000000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7465060</wp:posOffset>
              </wp:positionV>
              <wp:extent cx="133985" cy="1003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1.35000000000002pt;margin-top:587.79999999999995pt;width:10.550000000000001pt;height:7.9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360"/>
      <w:jc w:val="right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after="360" w:line="25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footer" Target="footer1.xm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footer" Target="footer2.xml"/><Relationship Id="rId17" Type="http://schemas.openxmlformats.org/officeDocument/2006/relationships/footer" Target="footer3.xml"/></Relationships>
</file>